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88" w:lineRule="auto"/>
      </w:pPr>
      <w:r>
        <w:rPr>
          <w:rFonts w:ascii="Georgia" w:hAnsi="Georgia" w:eastAsia="SimSun"/>
          <w:b/>
          <w:color w:val="0D1A39"/>
          <w:sz w:val="40"/>
        </w:rPr>
        <w:t>河北大学软科中国大学排名提升工作汇报</w:t>
      </w:r>
    </w:p>
    <w:p>
      <w:pPr>
        <w:spacing w:before="0" w:after="120" w:line="288" w:lineRule="auto"/>
      </w:pPr>
      <w:r>
        <w:rPr>
          <w:rFonts w:ascii="Segoe UI" w:hAnsi="Segoe UI" w:eastAsia="Microsoft YaHei"/>
          <w:b w:val="0"/>
          <w:color w:val="595959"/>
          <w:sz w:val="18"/>
        </w:rPr>
        <w:t>2026 年 11 月 1 日 · 数据截至 2026 年 10 月</w:t>
      </w:r>
    </w:p>
    <w:tbl>
      <w:tblPr>
        <w:tblStyle w:val="TableGrid"/>
        <w:tblW w:w="0" w:type="auto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  <w:tblBorders>
          <w:top w:val="nil"/>
          <w:left w:val="single" w:sz="24" w:space="0" w:color="0D1A39"/>
          <w:bottom w:val="nil"/>
          <w:right w:val="nil"/>
          <w:insideH w:val="nil"/>
          <w:insideV w:val="nil"/>
        </w:tblBorders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EDF1F5"/>
            <w:vAlign w:val="center"/>
          </w:tcPr>
          <w:p>
            <w:pPr>
              <w:spacing w:before="0" w:after="0" w:line="320" w:lineRule="exact"/>
            </w:pPr>
            <w:r>
              <w:rPr>
                <w:rFonts w:ascii="Segoe UI" w:hAnsi="Segoe UI" w:eastAsia="Microsoft YaHei"/>
                <w:b/>
                <w:color w:val="0D1A39"/>
                <w:sz w:val="22"/>
              </w:rPr>
              <w:t>三年三步：核验定值、补齐短板、结构提升，冲刺116名。</w:t>
            </w:r>
          </w:p>
        </w:tc>
      </w:tr>
    </w:tbl>
    <w:p>
      <w:pPr>
        <w:pStyle w:val="Heading1"/>
        <w:keepNext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一、现状与目标</w:t>
      </w:r>
    </w:p>
    <w:p>
      <w:pPr>
        <w:spacing w:before="0" w:after="10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2026 年官方公布第 130 名、总分 233.9 分。</w:t>
      </w:r>
    </w:p>
    <w:p>
      <w:pPr>
        <w:spacing w:before="100" w:after="10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1 · 三年目标（名次按 2026 年官方分数分布测算，仅供参考；实际门槛随各校涨幅上移）</w:t>
      </w:r>
    </w:p>
    <w:tbl>
      <w:tblPr>
        <w:tblStyle w:val="TableGrid"/>
        <w:tblW w:w="0" w:type="auto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2353"/>
        <w:gridCol w:w="2353"/>
        <w:gridCol w:w="2353"/>
        <w:gridCol w:w="2353"/>
      </w:tblGrid>
      <w:tr>
        <w:trPr>
          <w:tblHeader w:val="true"/>
          <w:cantSplit/>
        </w:trPr>
        <w:tc>
          <w:tcPr>
            <w:tcW w:type="dxa" w:w="2353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2026（官方公布）</w:t>
            </w:r>
          </w:p>
        </w:tc>
        <w:tc>
          <w:tcPr>
            <w:tcW w:type="dxa" w:w="2353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2027</w:t>
            </w:r>
          </w:p>
        </w:tc>
        <w:tc>
          <w:tcPr>
            <w:tcW w:type="dxa" w:w="2353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2028</w:t>
            </w:r>
          </w:p>
        </w:tc>
        <w:tc>
          <w:tcPr>
            <w:tcW w:type="dxa" w:w="2353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2029</w:t>
            </w:r>
          </w:p>
        </w:tc>
      </w:tr>
      <w:tr>
        <w:trPr>
          <w:cantSplit/>
        </w:trPr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Georgia" w:hAnsi="Georgia" w:eastAsia="SimSun"/>
                <w:b/>
                <w:color w:val="262626"/>
                <w:sz w:val="28"/>
              </w:rPr>
              <w:t>233.9 分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Georgia" w:hAnsi="Georgia" w:eastAsia="SimSun"/>
                <w:b/>
                <w:color w:val="262626"/>
                <w:sz w:val="28"/>
              </w:rPr>
              <w:t>243.9 分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Georgia" w:hAnsi="Georgia" w:eastAsia="SimSun"/>
                <w:b/>
                <w:color w:val="262626"/>
                <w:sz w:val="28"/>
              </w:rPr>
              <w:t>250.6 分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Georgia" w:hAnsi="Georgia" w:eastAsia="SimSun"/>
                <w:b/>
                <w:color w:val="262626"/>
                <w:sz w:val="28"/>
              </w:rPr>
              <w:t>255.0 分</w:t>
            </w:r>
          </w:p>
        </w:tc>
      </w:tr>
      <w:tr>
        <w:trPr>
          <w:cantSplit/>
        </w:trPr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130 名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121 名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119 名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116 名</w:t>
            </w:r>
          </w:p>
        </w:tc>
      </w:tr>
    </w:tbl>
    <w:p>
      <w:pPr>
        <w:pStyle w:val="Heading1"/>
        <w:keepNext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二、三年推进路径</w:t>
      </w:r>
    </w:p>
    <w:tbl>
      <w:tblPr>
        <w:tblStyle w:val="TableGrid"/>
        <w:tblW w:w="9412" w:type="dxa"/>
        <w:jc w:val="center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2438"/>
        <w:gridCol w:w="6974"/>
      </w:tblGrid>
      <w:tr>
        <w:trPr>
          <w:cantSplit/>
        </w:trPr>
        <w:tc>
          <w:tcPr>
            <w:tcW w:type="dxa" w:w="2438"/>
            <w:shd w:val="clear" w:color="auto" w:fill="EDF1F5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6"/>
              </w:rPr>
              <w:t>2027 年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核验定值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目标 243.9 分 · 第 121 名</w:t>
            </w:r>
          </w:p>
        </w:tc>
        <w:tc>
          <w:tcPr>
            <w:tcW w:type="dxa" w:w="6974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① 全校指标逐项核查，科研经费、学校收入等财务口径与台账对齐；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② 论文与成果归属核验，确认数据库统计窗口与机构归属；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③ 毕业生去向落实率两套记录统一，师资与科研人员台账核对定值。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先把已有但未准确反映的分数核对定值；第 121 名门槛随各校涨幅上移，2027 年约 249.9 分起。</w:t>
            </w:r>
          </w:p>
        </w:tc>
      </w:tr>
      <w:tr>
        <w:trPr>
          <w:cantSplit/>
        </w:trPr>
        <w:tc>
          <w:tcPr>
            <w:tcW w:type="dxa" w:w="2438"/>
            <w:shd w:val="clear" w:color="auto" w:fill="EDF1F5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6"/>
              </w:rPr>
              <w:t>2028 年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报告先行，补齐短板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目标 250.6 分 · 第 119 名</w:t>
            </w:r>
          </w:p>
        </w:tc>
        <w:tc>
          <w:tcPr>
            <w:tcW w:type="dxa" w:w="6974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① 正式报告与统计编制期先行，提前确定口径与目标值；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② 本科毕业生深造率按目标推进；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③ 科研平台与重大项目结构补强。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把核验后可做的重点短板，转化为可兑现的成果。</w:t>
            </w:r>
          </w:p>
        </w:tc>
      </w:tr>
      <w:tr>
        <w:trPr>
          <w:cantSplit/>
        </w:trPr>
        <w:tc>
          <w:tcPr>
            <w:tcW w:type="dxa" w:w="2438"/>
            <w:shd w:val="clear" w:color="auto" w:fill="EDF1F5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6"/>
              </w:rPr>
              <w:t>2029 年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结构提升，长效建设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目标 255.0 分 · 第 116 名</w:t>
            </w:r>
          </w:p>
        </w:tc>
        <w:tc>
          <w:tcPr>
            <w:tcW w:type="dxa" w:w="6974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① 科研平台持续建设；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② PCT 国际专利等国际化产出推进；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③ 高端人才引进与人才梯队结构优化。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让数据治理与专项推进沉淀为真实办学能力。</w:t>
            </w:r>
          </w:p>
        </w:tc>
      </w:tr>
    </w:tbl>
    <w:p>
      <w:pPr>
        <w:pStyle w:val="Heading1"/>
        <w:keepNext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三、短期核验方向</w:t>
      </w:r>
    </w:p>
    <w:tbl>
      <w:tblPr>
        <w:tblStyle w:val="TableGrid"/>
        <w:tblW w:w="9412" w:type="dxa"/>
        <w:jc w:val="center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1644"/>
        <w:gridCol w:w="4252"/>
        <w:gridCol w:w="3516"/>
      </w:tblGrid>
      <w:tr>
        <w:trPr>
          <w:tblHeader w:val="true"/>
          <w:cantSplit/>
        </w:trPr>
        <w:tc>
          <w:tcPr>
            <w:tcW w:type="dxa" w:w="1644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优先方向</w:t>
            </w:r>
          </w:p>
        </w:tc>
        <w:tc>
          <w:tcPr>
            <w:tcW w:type="dxa" w:w="4252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提升抓手</w:t>
            </w:r>
          </w:p>
        </w:tc>
        <w:tc>
          <w:tcPr>
            <w:tcW w:type="dxa" w:w="3516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下一步核验重点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科研经费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核对科技统计口径、项目归属与跨部门经费记录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到账记录、科研台账、财务统计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学校收入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核对财务决算与公开数据，查找统计差异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部门决算、统计口径及来源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国际合作论文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核验数据库机构归属、合著记录与统计窗口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论文清单、数据库导出记录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授课教授比例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核对教授台账与排课记录的统计口径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本科教学质量报告、教务台账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教师职称结构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核对职称学历口径与晋升批次落账时点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人事台账、教育事业统计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科创竞赛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归集官方获奖名单，与校内台账核对折合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三赛官方名单、学校竞赛台账</w:t>
            </w:r>
          </w:p>
        </w:tc>
      </w:tr>
    </w:tbl>
    <w:p>
      <w:pPr>
        <w:spacing w:before="100" w:after="80" w:line="270" w:lineRule="exact"/>
      </w:pPr>
      <w:r>
        <w:rPr>
          <w:rFonts w:ascii="Segoe UI" w:hAnsi="Segoe UI" w:eastAsia="Microsoft YaHei"/>
          <w:b w:val="0"/>
          <w:color w:val="8A8A8A"/>
          <w:sz w:val="19"/>
        </w:rPr>
        <w:t>等 10 个方向，均按可实现性与提升空间排序，逐项核验后定值。</w:t>
      </w:r>
    </w:p>
    <w:p>
      <w:pPr>
        <w:pStyle w:val="Heading1"/>
        <w:keepNext/>
        <w:pageBreakBefore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四、长期提前规划</w:t>
      </w:r>
    </w:p>
    <w:p>
      <w:pPr>
        <w:spacing w:before="0" w:after="10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下面数据要提前一到两年形成，今年不启动，后续年份就无数据可报。</w:t>
      </w:r>
    </w:p>
    <w:tbl>
      <w:tblPr>
        <w:tblStyle w:val="TableGrid"/>
        <w:tblW w:w="9412" w:type="dxa"/>
        <w:jc w:val="center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1928"/>
        <w:gridCol w:w="3742"/>
        <w:gridCol w:w="3742"/>
      </w:tblGrid>
      <w:tr>
        <w:trPr>
          <w:tblHeader w:val="true"/>
          <w:cantSplit/>
        </w:trPr>
        <w:tc>
          <w:tcPr>
            <w:tcW w:type="dxa" w:w="1928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规划事项</w:t>
            </w:r>
          </w:p>
        </w:tc>
        <w:tc>
          <w:tcPr>
            <w:tcW w:type="dxa" w:w="3742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为什么必须提前</w:t>
            </w:r>
          </w:p>
        </w:tc>
        <w:tc>
          <w:tcPr>
            <w:tcW w:type="dxa" w:w="3742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启动安排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正式报告编制期先行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口径与目标值须在编制期内定，窗口一关、当年无法补报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每年编制期前定口径、定目标值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毕业去向落实率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就业数据当年形成，事后无法补做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按届次提前部署就业与去向登记，实现稳步提升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毕业生深造率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培养与引导见效需一到两年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提前布局升学引导，按目标届次逐年推进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博士学位教师引进与学历认定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引进与认定均按年度批次推进，错过当年批次只能顺延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引进节奏按年排定，未认定名单逐年清理更新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职称评审节奏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评审批次与确认时点决定计入年度，须提前安排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年度评审批次提前排定，评审结果按时点计入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社会捐赠归集制度化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捐赠分散在各学院，年终未归集的数据事后难以补齐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各学院捐赠与实物折价统一归集，与基金会审计口径对齐</w:t>
            </w:r>
          </w:p>
        </w:tc>
      </w:tr>
    </w:tbl>
    <w:p>
      <w:pPr>
        <w:pStyle w:val="Heading1"/>
        <w:keepNext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五、萌想科技的价值</w:t>
      </w:r>
    </w:p>
    <w:tbl>
      <w:tblPr>
        <w:tblStyle w:val="TableGrid"/>
        <w:tblW w:w="9412" w:type="dxa"/>
        <w:jc w:val="center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1814"/>
        <w:gridCol w:w="7598"/>
      </w:tblGrid>
      <w:tr>
        <w:trPr>
          <w:tblHeader w:val="true"/>
          <w:cantSplit/>
        </w:trPr>
        <w:tc>
          <w:tcPr>
            <w:tcW w:type="dxa" w:w="1814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角色</w:t>
            </w:r>
          </w:p>
        </w:tc>
        <w:tc>
          <w:tcPr>
            <w:tcW w:type="dxa" w:w="7598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主要作用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软科数据库</w:t>
            </w:r>
          </w:p>
        </w:tc>
        <w:tc>
          <w:tcPr>
            <w:tcW w:type="dxa" w:w="759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提供排名结果、指标口径与对标分析，帮助学校看清差距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学校各部门</w:t>
            </w:r>
          </w:p>
        </w:tc>
        <w:tc>
          <w:tcPr>
            <w:tcW w:type="dxa" w:w="759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掌握原始台账与实际办学工作，是数据与成果的源头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萌想科技</w:t>
            </w:r>
          </w:p>
        </w:tc>
        <w:tc>
          <w:tcPr>
            <w:tcW w:type="dxa" w:w="759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依托大数据与排名测算模型：全样本对标、逐项测算空间、推演分数线；再逐项核验数据与证据、统筹跨部门口径、组织推进与逐年复测，帮助学校把差距转化为证据、行动与结果</w:t>
            </w:r>
          </w:p>
        </w:tc>
      </w:tr>
    </w:tbl>
    <w:p>
      <w:pPr>
        <w:spacing w:before="0" w:after="100" w:line="320" w:lineRule="exact"/>
      </w:pPr>
      <w:r>
        <w:rPr>
          <w:rFonts w:ascii="Segoe UI" w:hAnsi="Segoe UI" w:eastAsia="Microsoft YaHei"/>
          <w:b/>
          <w:color w:val="262626"/>
          <w:sz w:val="22"/>
        </w:rPr>
        <w:t>软科看清差距，学校提供基础，萌想科技作为执行伙伴，推动补齐差距、实现提升。</w:t>
      </w:r>
    </w:p>
    <w:p>
      <w:pPr>
        <w:spacing w:before="100" w:after="80" w:line="270" w:lineRule="exact"/>
        <w:pBdr>
          <w:top w:val="single" w:sz="4" w:space="4" w:color="BFBFBF"/>
        </w:pBdr>
      </w:pPr>
      <w:r>
        <w:rPr>
          <w:b/>
          <w:color w:val="666666"/>
          <w:sz w:val="18"/>
        </w:rPr>
        <w:t>关于萌想科技</w:t>
      </w:r>
      <w:r>
        <w:rPr>
          <w:b w:val="0"/>
          <w:color w:val="666666"/>
          <w:sz w:val="18"/>
        </w:rPr>
        <w:t>，成立于2014年，深耕高校与青年人才十余年，覆盖中国、英国、欧洲、东南亚等数百所全球知名院校，连接2400万毕业生、33万家企业、600万学者。围绕高校评价与排名、科研合作、毕业生就业，为高校提供数据分析、证据核验、提升策略与执行支持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624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 w:eastAsia="Microsoft YaHei"/>
        <w:b w:val="0"/>
        <w:color w:val="595959"/>
        <w:sz w:val="17"/>
      </w:rPr>
      <w:t>2026 年 11 月 1 日</w:t>
      <w:tab/>
    </w:r>
    <w:r>
      <w:rPr>
        <w:rFonts w:ascii="Segoe UI" w:hAnsi="Segoe UI" w:eastAsia="Microsoft YaHei"/>
        <w:b w:val="0"/>
        <w:color w:val="595959"/>
        <w:sz w:val="17"/>
      </w:rPr>
      <w:t xml:space="preserve">第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PAGE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 / 共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NUMPAGES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 w:eastAsia="Microsoft YaHei"/>
        <w:b w:val="0"/>
        <w:color w:val="595959"/>
        <w:sz w:val="17"/>
      </w:rPr>
      <w:t>河北大学 · 软科中国大学排名提升工作汇报</w:t>
      <w:tab/>
      <w:t>数据截至 2026 年 10 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Segoe UI" w:hAnsi="Segoe UI" w:eastAsia="Microsoft YaHei"/>
      <w:color w:val="26262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Georgia" w:hAnsi="Georgia" w:eastAsia="SimSun"/>
      <w:b/>
      <w:bCs/>
      <w:color w:val="0D1A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