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="360" w:lineRule="auto"/>
      </w:pPr>
      <w:r>
        <w:rPr>
          <w:rFonts w:ascii="Georgia" w:hAnsi="Georgia" w:eastAsia="SimSun"/>
          <w:b/>
          <w:color w:val="2D3748"/>
          <w:sz w:val="40"/>
        </w:rPr>
        <w:t>河北大学软科中国大学排名提升工作汇报</w:t>
      </w:r>
    </w:p>
    <w:p>
      <w:pPr>
        <w:spacing w:after="80" w:before="0" w:line="360" w:lineRule="auto"/>
      </w:pPr>
      <w:r>
        <w:rPr>
          <w:rFonts w:ascii="Segoe UI" w:hAnsi="Segoe UI" w:eastAsia="Microsoft YaHei"/>
          <w:b w:val="0"/>
          <w:color w:val="5A6A7A"/>
          <w:sz w:val="18"/>
        </w:rPr>
        <w:t>2026 年 11 月 1 日 · 数据截至 2026 年 10 月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shd w:val="clear" w:fill="0D1A39"/>
          </w:tcPr>
          <w:p>
            <w:pPr>
              <w:spacing w:after="40" w:before="40"/>
            </w:pPr>
            <w:r/>
            <w:r>
              <w:rPr>
                <w:rFonts w:ascii="Segoe UI" w:hAnsi="Segoe UI" w:eastAsia="Microsoft YaHei"/>
                <w:b w:val="0"/>
                <w:color w:val="FFFFFF"/>
                <w:sz w:val="21"/>
              </w:rPr>
              <w:t>总判断：三年目标明确，各项差距均有补足来源，实现路径清晰，具备达成条件。</w:t>
            </w:r>
          </w:p>
        </w:tc>
      </w:tr>
    </w:tbl>
    <w:p>
      <w:pPr>
        <w:pStyle w:val="Heading1"/>
      </w:pPr>
      <w:r>
        <w:t>一、目标</w:t>
      </w:r>
    </w:p>
    <w:p>
      <w:pPr>
        <w:spacing w:after="40" w:before="40" w:line="360" w:lineRule="auto"/>
      </w:pPr>
      <w:r>
        <w:rPr>
          <w:rFonts w:ascii="Segoe UI" w:hAnsi="Segoe UI" w:eastAsia="Microsoft YaHei"/>
          <w:b w:val="0"/>
          <w:color w:val="8A9AAA"/>
          <w:sz w:val="18"/>
        </w:rPr>
        <w:t>表 1 · 三年目标（名次按 2026 年官方分数分布测算，仅供参考）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2353"/>
        <w:gridCol w:w="2353"/>
        <w:gridCol w:w="2353"/>
        <w:gridCol w:w="2353"/>
      </w:tblGrid>
      <w:tr>
        <w:tc>
          <w:tcPr>
            <w:tcW w:type="dxa" w:w="2353"/>
            <w:shd w:val="clear" w:fill="F5F3EF"/>
          </w:tcPr>
          <w:p>
            <w:pPr>
              <w:spacing w:after="20" w:before="20" w:line="283" w:lineRule="auto"/>
              <w:jc w:val="center"/>
            </w:pPr>
            <w:r/>
            <w:r>
              <w:rPr>
                <w:rFonts w:ascii="Segoe UI" w:hAnsi="Segoe UI" w:eastAsia="Microsoft YaHei"/>
                <w:b/>
                <w:color w:val="5A6A7A"/>
                <w:sz w:val="18"/>
              </w:rPr>
              <w:t>2026（官方公布）</w:t>
            </w:r>
          </w:p>
        </w:tc>
        <w:tc>
          <w:tcPr>
            <w:tcW w:type="dxa" w:w="2353"/>
            <w:shd w:val="clear" w:fill="F5F3EF"/>
          </w:tcPr>
          <w:p>
            <w:pPr>
              <w:spacing w:after="20" w:before="20" w:line="283" w:lineRule="auto"/>
              <w:jc w:val="center"/>
            </w:pPr>
            <w:r/>
            <w:r>
              <w:rPr>
                <w:rFonts w:ascii="Segoe UI" w:hAnsi="Segoe UI" w:eastAsia="Microsoft YaHei"/>
                <w:b/>
                <w:color w:val="5A6A7A"/>
                <w:sz w:val="18"/>
              </w:rPr>
              <w:t>2027</w:t>
            </w:r>
          </w:p>
        </w:tc>
        <w:tc>
          <w:tcPr>
            <w:tcW w:type="dxa" w:w="2353"/>
            <w:shd w:val="clear" w:fill="F5F3EF"/>
          </w:tcPr>
          <w:p>
            <w:pPr>
              <w:spacing w:after="20" w:before="20" w:line="283" w:lineRule="auto"/>
              <w:jc w:val="center"/>
            </w:pPr>
            <w:r/>
            <w:r>
              <w:rPr>
                <w:rFonts w:ascii="Segoe UI" w:hAnsi="Segoe UI" w:eastAsia="Microsoft YaHei"/>
                <w:b/>
                <w:color w:val="5A6A7A"/>
                <w:sz w:val="18"/>
              </w:rPr>
              <w:t>2028</w:t>
            </w:r>
          </w:p>
        </w:tc>
        <w:tc>
          <w:tcPr>
            <w:tcW w:type="dxa" w:w="2353"/>
            <w:shd w:val="clear" w:fill="F5F3EF"/>
          </w:tcPr>
          <w:p>
            <w:pPr>
              <w:spacing w:after="20" w:before="20" w:line="283" w:lineRule="auto"/>
              <w:jc w:val="center"/>
            </w:pPr>
            <w:r/>
            <w:r>
              <w:rPr>
                <w:rFonts w:ascii="Segoe UI" w:hAnsi="Segoe UI" w:eastAsia="Microsoft YaHei"/>
                <w:b/>
                <w:color w:val="5A6A7A"/>
                <w:sz w:val="18"/>
              </w:rPr>
              <w:t>2029</w:t>
            </w:r>
          </w:p>
        </w:tc>
      </w:tr>
      <w:tr>
        <w:tc>
          <w:tcPr>
            <w:tcW w:type="dxa" w:w="2353"/>
          </w:tcPr>
          <w:p>
            <w:pPr>
              <w:spacing w:after="20" w:before="20" w:line="283" w:lineRule="auto"/>
              <w:jc w:val="center"/>
            </w:pPr>
            <w:r/>
            <w:r>
              <w:rPr>
                <w:rFonts w:ascii="Georgia" w:hAnsi="Georgia" w:eastAsia="SimSun"/>
                <w:b/>
                <w:color w:val="2D3748"/>
                <w:sz w:val="28"/>
              </w:rPr>
              <w:t>233.9 分</w:t>
            </w:r>
          </w:p>
        </w:tc>
        <w:tc>
          <w:tcPr>
            <w:tcW w:type="dxa" w:w="2353"/>
          </w:tcPr>
          <w:p>
            <w:pPr>
              <w:spacing w:after="20" w:before="20" w:line="283" w:lineRule="auto"/>
              <w:jc w:val="center"/>
            </w:pPr>
            <w:r/>
            <w:r>
              <w:rPr>
                <w:rFonts w:ascii="Georgia" w:hAnsi="Georgia" w:eastAsia="SimSun"/>
                <w:b/>
                <w:color w:val="2D3748"/>
                <w:sz w:val="28"/>
              </w:rPr>
              <w:t>243.9 分</w:t>
            </w:r>
          </w:p>
        </w:tc>
        <w:tc>
          <w:tcPr>
            <w:tcW w:type="dxa" w:w="2353"/>
          </w:tcPr>
          <w:p>
            <w:pPr>
              <w:spacing w:after="20" w:before="20" w:line="283" w:lineRule="auto"/>
              <w:jc w:val="center"/>
            </w:pPr>
            <w:r/>
            <w:r>
              <w:rPr>
                <w:rFonts w:ascii="Georgia" w:hAnsi="Georgia" w:eastAsia="SimSun"/>
                <w:b/>
                <w:color w:val="2D3748"/>
                <w:sz w:val="28"/>
              </w:rPr>
              <w:t>250.6 分</w:t>
            </w:r>
          </w:p>
        </w:tc>
        <w:tc>
          <w:tcPr>
            <w:tcW w:type="dxa" w:w="2353"/>
          </w:tcPr>
          <w:p>
            <w:pPr>
              <w:spacing w:after="20" w:before="20" w:line="283" w:lineRule="auto"/>
              <w:jc w:val="center"/>
            </w:pPr>
            <w:r/>
            <w:r>
              <w:rPr>
                <w:rFonts w:ascii="Georgia" w:hAnsi="Georgia" w:eastAsia="SimSun"/>
                <w:b/>
                <w:color w:val="2D3748"/>
                <w:sz w:val="28"/>
              </w:rPr>
              <w:t>255.0 分</w:t>
            </w:r>
          </w:p>
        </w:tc>
      </w:tr>
      <w:tr>
        <w:tc>
          <w:tcPr>
            <w:tcW w:type="dxa" w:w="2353"/>
          </w:tcPr>
          <w:p>
            <w:pPr>
              <w:spacing w:after="20" w:before="20" w:line="283" w:lineRule="auto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第 130 名</w:t>
            </w:r>
          </w:p>
        </w:tc>
        <w:tc>
          <w:tcPr>
            <w:tcW w:type="dxa" w:w="2353"/>
          </w:tcPr>
          <w:p>
            <w:pPr>
              <w:spacing w:after="20" w:before="20" w:line="283" w:lineRule="auto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第 121 名</w:t>
            </w:r>
          </w:p>
        </w:tc>
        <w:tc>
          <w:tcPr>
            <w:tcW w:type="dxa" w:w="2353"/>
          </w:tcPr>
          <w:p>
            <w:pPr>
              <w:spacing w:after="20" w:before="20" w:line="283" w:lineRule="auto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第 119 名</w:t>
            </w:r>
          </w:p>
        </w:tc>
        <w:tc>
          <w:tcPr>
            <w:tcW w:type="dxa" w:w="2353"/>
          </w:tcPr>
          <w:p>
            <w:pPr>
              <w:spacing w:after="20" w:before="20" w:line="283" w:lineRule="auto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第 116 名</w:t>
            </w:r>
          </w:p>
        </w:tc>
      </w:tr>
    </w:tbl>
    <w:p>
      <w:pPr>
        <w:pStyle w:val="Heading1"/>
      </w:pPr>
      <w:r>
        <w:t>二、三年目标与实现路径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793"/>
        <w:gridCol w:w="1417"/>
        <w:gridCol w:w="2608"/>
        <w:gridCol w:w="1984"/>
        <w:gridCol w:w="2608"/>
      </w:tblGrid>
      <w:tr>
        <w:trPr>
          <w:tblHeader w:val="true"/>
        </w:trPr>
        <w:tc>
          <w:tcPr>
            <w:tcW w:type="dxa" w:w="794"/>
            <w:shd w:val="clear" w:fill="0D1A39"/>
          </w:tcPr>
          <w:p>
            <w:pPr>
              <w:spacing w:after="20" w:before="20" w:line="283" w:lineRule="auto"/>
            </w:pPr>
            <w:r/>
            <w:r>
              <w:rPr>
                <w:rFonts w:ascii="Segoe UI" w:hAnsi="Segoe UI" w:eastAsia="Microsoft YaHei"/>
                <w:b/>
                <w:color w:val="FFFFFF"/>
                <w:sz w:val="19"/>
              </w:rPr>
              <w:t>年份</w:t>
            </w:r>
          </w:p>
        </w:tc>
        <w:tc>
          <w:tcPr>
            <w:tcW w:type="dxa" w:w="1417"/>
            <w:shd w:val="clear" w:fill="0D1A39"/>
          </w:tcPr>
          <w:p>
            <w:pPr>
              <w:spacing w:after="20" w:before="20" w:line="283" w:lineRule="auto"/>
            </w:pPr>
            <w:r/>
            <w:r>
              <w:rPr>
                <w:rFonts w:ascii="Segoe UI" w:hAnsi="Segoe UI" w:eastAsia="Microsoft YaHei"/>
                <w:b/>
                <w:color w:val="FFFFFF"/>
                <w:sz w:val="19"/>
              </w:rPr>
              <w:t>目标</w:t>
            </w:r>
          </w:p>
        </w:tc>
        <w:tc>
          <w:tcPr>
            <w:tcW w:type="dxa" w:w="2608"/>
            <w:shd w:val="clear" w:fill="0D1A39"/>
          </w:tcPr>
          <w:p>
            <w:pPr>
              <w:spacing w:after="20" w:before="20" w:line="283" w:lineRule="auto"/>
            </w:pPr>
            <w:r/>
            <w:r>
              <w:rPr>
                <w:rFonts w:ascii="Segoe UI" w:hAnsi="Segoe UI" w:eastAsia="Microsoft YaHei"/>
                <w:b/>
                <w:color w:val="FFFFFF"/>
                <w:sz w:val="19"/>
              </w:rPr>
              <w:t>预计可达</w:t>
            </w:r>
          </w:p>
        </w:tc>
        <w:tc>
          <w:tcPr>
            <w:tcW w:type="dxa" w:w="1984"/>
            <w:shd w:val="clear" w:fill="0D1A39"/>
          </w:tcPr>
          <w:p>
            <w:pPr>
              <w:spacing w:after="20" w:before="20" w:line="283" w:lineRule="auto"/>
            </w:pPr>
            <w:r/>
            <w:r>
              <w:rPr>
                <w:rFonts w:ascii="Segoe UI" w:hAnsi="Segoe UI" w:eastAsia="Microsoft YaHei"/>
                <w:b/>
                <w:color w:val="FFFFFF"/>
                <w:sz w:val="19"/>
              </w:rPr>
              <w:t>差距</w:t>
            </w:r>
          </w:p>
        </w:tc>
        <w:tc>
          <w:tcPr>
            <w:tcW w:type="dxa" w:w="2608"/>
            <w:shd w:val="clear" w:fill="0D1A39"/>
          </w:tcPr>
          <w:p>
            <w:pPr>
              <w:spacing w:after="20" w:before="20" w:line="283" w:lineRule="auto"/>
            </w:pPr>
            <w:r/>
            <w:r>
              <w:rPr>
                <w:rFonts w:ascii="Segoe UI" w:hAnsi="Segoe UI" w:eastAsia="Microsoft YaHei"/>
                <w:b/>
                <w:color w:val="FFFFFF"/>
                <w:sz w:val="19"/>
              </w:rPr>
              <w:t>补足安排</w:t>
            </w:r>
          </w:p>
        </w:tc>
      </w:tr>
      <w:tr>
        <w:tc>
          <w:tcPr>
            <w:tcW w:type="dxa" w:w="794"/>
          </w:tcPr>
          <w:p>
            <w:pPr>
              <w:spacing w:after="20" w:before="20" w:line="283" w:lineRule="auto"/>
            </w:pPr>
            <w:r/>
            <w:r>
              <w:rPr>
                <w:rFonts w:ascii="Segoe UI" w:hAnsi="Segoe UI" w:eastAsia="Microsoft YaHei"/>
                <w:b/>
                <w:color w:val="2D3748"/>
                <w:sz w:val="19"/>
              </w:rPr>
              <w:t>2027</w:t>
            </w:r>
          </w:p>
        </w:tc>
        <w:tc>
          <w:tcPr>
            <w:tcW w:type="dxa" w:w="1417"/>
          </w:tcPr>
          <w:p>
            <w:pPr>
              <w:spacing w:after="20" w:before="20" w:line="283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243.9 分 · 第 121 名</w:t>
            </w:r>
          </w:p>
        </w:tc>
        <w:tc>
          <w:tcPr>
            <w:tcW w:type="dxa" w:w="2608"/>
          </w:tcPr>
          <w:p>
            <w:pPr>
              <w:spacing w:after="20" w:before="20" w:line="283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246.2~247.2 分：自然增长 +2.5~3.5、纳入目标的提升 +9.75</w:t>
            </w:r>
          </w:p>
        </w:tc>
        <w:tc>
          <w:tcPr>
            <w:tcW w:type="dxa" w:w="1984"/>
          </w:tcPr>
          <w:p>
            <w:pPr>
              <w:spacing w:after="20" w:before="20" w:line="283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距第 121 名分数线 249.9~252.0 分，差距约 2.7~3.7 分</w:t>
            </w:r>
          </w:p>
        </w:tc>
        <w:tc>
          <w:tcPr>
            <w:tcW w:type="dxa" w:w="2608"/>
          </w:tcPr>
          <w:p>
            <w:pPr>
              <w:spacing w:after="20" w:before="20" w:line="283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备选事项 6 项 +10.15 分，核查确认后补足差距；需追加的提升 +3.7 分：高端人才（总数）空间 +7.37 分</w:t>
            </w:r>
          </w:p>
        </w:tc>
      </w:tr>
      <w:tr>
        <w:tc>
          <w:tcPr>
            <w:tcW w:type="dxa" w:w="9411"/>
            <w:gridSpan w:val="5"/>
            <w:shd w:val="clear" w:fill="F8F6F3"/>
          </w:tcPr>
          <w:p>
            <w:pPr>
              <w:spacing w:after="20" w:before="20" w:line="276" w:lineRule="auto"/>
            </w:pPr>
            <w:r/>
            <w:r>
              <w:rPr>
                <w:rFonts w:ascii="Segoe UI" w:hAnsi="Segoe UI" w:eastAsia="Microsoft YaHei"/>
                <w:b/>
                <w:color w:val="2D3748"/>
                <w:sz w:val="19"/>
              </w:rPr>
              <w:t>达成依据：</w:t>
            </w:r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纳入目标的提升已经逐项测算；备选全额 +10.15 分补足差距，另有 +7.37 分空间支撑需追加的提升。</w:t>
            </w:r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主要工作：①18项指标逐项核查与台账核对；②毕业生去向落实率两套记录统一；③科研人员规模（折合数）核对定值。</w:t>
            </w:r>
          </w:p>
        </w:tc>
      </w:tr>
      <w:tr>
        <w:tc>
          <w:tcPr>
            <w:tcW w:type="dxa" w:w="794"/>
          </w:tcPr>
          <w:p>
            <w:pPr>
              <w:spacing w:after="20" w:before="20" w:line="283" w:lineRule="auto"/>
            </w:pPr>
            <w:r/>
            <w:r>
              <w:rPr>
                <w:rFonts w:ascii="Segoe UI" w:hAnsi="Segoe UI" w:eastAsia="Microsoft YaHei"/>
                <w:b/>
                <w:color w:val="2D3748"/>
                <w:sz w:val="19"/>
              </w:rPr>
              <w:t>2028</w:t>
            </w:r>
          </w:p>
        </w:tc>
        <w:tc>
          <w:tcPr>
            <w:tcW w:type="dxa" w:w="1417"/>
          </w:tcPr>
          <w:p>
            <w:pPr>
              <w:spacing w:after="20" w:before="20" w:line="283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250.6 分 · 第 119 名</w:t>
            </w:r>
          </w:p>
        </w:tc>
        <w:tc>
          <w:tcPr>
            <w:tcW w:type="dxa" w:w="2608"/>
          </w:tcPr>
          <w:p>
            <w:pPr>
              <w:spacing w:after="20" w:before="20" w:line="283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254.9~256.9 分：上年预计可达结转，自然增长 +2~3、纳入目标的提升 +6.66</w:t>
            </w:r>
          </w:p>
        </w:tc>
        <w:tc>
          <w:tcPr>
            <w:tcW w:type="dxa" w:w="1984"/>
          </w:tcPr>
          <w:p>
            <w:pPr>
              <w:spacing w:after="20" w:before="20" w:line="283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按测算可达到目标；与平均涨幅相比，差距约 5.7~7.7 分</w:t>
            </w:r>
          </w:p>
        </w:tc>
        <w:tc>
          <w:tcPr>
            <w:tcW w:type="dxa" w:w="2608"/>
          </w:tcPr>
          <w:p>
            <w:pPr>
              <w:spacing w:after="20" w:before="20" w:line="283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需追加的提升 +7.7 分：高端人才、造就学术人才两项空间合计 +14.64 分</w:t>
            </w:r>
          </w:p>
        </w:tc>
      </w:tr>
      <w:tr>
        <w:tc>
          <w:tcPr>
            <w:tcW w:type="dxa" w:w="9411"/>
            <w:gridSpan w:val="5"/>
            <w:shd w:val="clear" w:fill="F8F6F3"/>
          </w:tcPr>
          <w:p>
            <w:pPr>
              <w:spacing w:after="20" w:before="20" w:line="276" w:lineRule="auto"/>
            </w:pPr>
            <w:r/>
            <w:r>
              <w:rPr>
                <w:rFonts w:ascii="Segoe UI" w:hAnsi="Segoe UI" w:eastAsia="Microsoft YaHei"/>
                <w:b/>
                <w:color w:val="2D3748"/>
                <w:sz w:val="19"/>
              </w:rPr>
              <w:t>达成依据：</w:t>
            </w:r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+1.40 分源于正式报告编制期提前确定数值；+14.64 分提升空间可支撑需追加的提升。</w:t>
            </w:r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主要工作：①正式报告提前规划，编制期先定口径与目标值；②本科毕业生深造率按目标推进；③科研平台（师均折合数）按目标推进。</w:t>
            </w:r>
          </w:p>
        </w:tc>
      </w:tr>
      <w:tr>
        <w:tc>
          <w:tcPr>
            <w:tcW w:type="dxa" w:w="794"/>
          </w:tcPr>
          <w:p>
            <w:pPr>
              <w:spacing w:after="20" w:before="20" w:line="283" w:lineRule="auto"/>
            </w:pPr>
            <w:r/>
            <w:r>
              <w:rPr>
                <w:rFonts w:ascii="Segoe UI" w:hAnsi="Segoe UI" w:eastAsia="Microsoft YaHei"/>
                <w:b/>
                <w:color w:val="2D3748"/>
                <w:sz w:val="19"/>
              </w:rPr>
              <w:t>2029</w:t>
            </w:r>
          </w:p>
        </w:tc>
        <w:tc>
          <w:tcPr>
            <w:tcW w:type="dxa" w:w="1417"/>
          </w:tcPr>
          <w:p>
            <w:pPr>
              <w:spacing w:after="20" w:before="20" w:line="283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255.0 分 · 第 116 名</w:t>
            </w:r>
          </w:p>
        </w:tc>
        <w:tc>
          <w:tcPr>
            <w:tcW w:type="dxa" w:w="2608"/>
          </w:tcPr>
          <w:p>
            <w:pPr>
              <w:spacing w:after="20" w:before="20" w:line="283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261.3~264.3 分：上年预计可达结转，自然增长 +2~3、纳入目标的提升 +4.40</w:t>
            </w:r>
          </w:p>
        </w:tc>
        <w:tc>
          <w:tcPr>
            <w:tcW w:type="dxa" w:w="1984"/>
          </w:tcPr>
          <w:p>
            <w:pPr>
              <w:spacing w:after="20" w:before="20" w:line="283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按测算可达到目标；与平均涨幅相比，差距约 8.7~11.7 分</w:t>
            </w:r>
          </w:p>
        </w:tc>
        <w:tc>
          <w:tcPr>
            <w:tcW w:type="dxa" w:w="2608"/>
          </w:tcPr>
          <w:p>
            <w:pPr>
              <w:spacing w:after="20" w:before="20" w:line="283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需追加的提升 +11.7 分：高端人才、造就学术人才两项空间合计 +14.64 分</w:t>
            </w:r>
          </w:p>
        </w:tc>
      </w:tr>
      <w:tr>
        <w:tc>
          <w:tcPr>
            <w:tcW w:type="dxa" w:w="9411"/>
            <w:gridSpan w:val="5"/>
            <w:shd w:val="clear" w:fill="F8F6F3"/>
          </w:tcPr>
          <w:p>
            <w:pPr>
              <w:spacing w:after="20" w:before="20" w:line="276" w:lineRule="auto"/>
            </w:pPr>
            <w:r/>
            <w:r>
              <w:rPr>
                <w:rFonts w:ascii="Segoe UI" w:hAnsi="Segoe UI" w:eastAsia="Microsoft YaHei"/>
                <w:b/>
                <w:color w:val="2D3748"/>
                <w:sz w:val="19"/>
              </w:rPr>
              <w:t>达成依据：</w:t>
            </w:r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+0.18 分源于正式报告编制期提前确定数值；+14.64 分提升空间可支撑需追加的提升。</w:t>
            </w:r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主要工作：①正式报告提前规划，编制期先定口径与目标值；②科研平台（师均折合数）按目标推进；③PCT国际专利申请比例按目标推进。</w:t>
            </w:r>
          </w:p>
        </w:tc>
      </w:tr>
    </w:tbl>
    <w:p>
      <w:pPr>
        <w:spacing w:after="40" w:before="40" w:line="360" w:lineRule="auto"/>
      </w:pPr>
      <w:r>
        <w:rPr>
          <w:rFonts w:ascii="Segoe UI" w:hAnsi="Segoe UI" w:eastAsia="Microsoft YaHei"/>
          <w:b w:val="0"/>
          <w:color w:val="8A9AAA"/>
          <w:sz w:val="18"/>
        </w:rPr>
        <w:t xml:space="preserve">图 · 新增分数构成（条长按新增部分绘制，起点为现有分数）　</w:t>
      </w:r>
      <w:r>
        <w:rPr>
          <w:rFonts w:ascii="Segoe UI" w:hAnsi="Segoe UI" w:eastAsia="Microsoft YaHei"/>
          <w:b w:val="0"/>
          <w:color w:val="57A773"/>
          <w:sz w:val="18"/>
        </w:rPr>
        <w:t xml:space="preserve">■ </w:t>
      </w:r>
      <w:r>
        <w:rPr>
          <w:rFonts w:ascii="Segoe UI" w:hAnsi="Segoe UI" w:eastAsia="Microsoft YaHei"/>
          <w:b w:val="0"/>
          <w:color w:val="2D3748"/>
          <w:sz w:val="18"/>
        </w:rPr>
        <w:t xml:space="preserve">自然增长 </w:t>
      </w:r>
      <w:r>
        <w:rPr>
          <w:rFonts w:ascii="Segoe UI" w:hAnsi="Segoe UI" w:eastAsia="Microsoft YaHei"/>
          <w:b w:val="0"/>
          <w:color w:val="4A90D9"/>
          <w:sz w:val="18"/>
        </w:rPr>
        <w:t xml:space="preserve">■ </w:t>
      </w:r>
      <w:r>
        <w:rPr>
          <w:rFonts w:ascii="Segoe UI" w:hAnsi="Segoe UI" w:eastAsia="Microsoft YaHei"/>
          <w:b w:val="0"/>
          <w:color w:val="2D3748"/>
          <w:sz w:val="18"/>
        </w:rPr>
        <w:t xml:space="preserve">纳入目标的提升 </w:t>
      </w:r>
      <w:r>
        <w:rPr>
          <w:rFonts w:ascii="Segoe UI" w:hAnsi="Segoe UI" w:eastAsia="Microsoft YaHei"/>
          <w:b w:val="0"/>
          <w:color w:val="C9A227"/>
          <w:sz w:val="18"/>
        </w:rPr>
        <w:t xml:space="preserve">■ </w:t>
      </w:r>
      <w:r>
        <w:rPr>
          <w:rFonts w:ascii="Segoe UI" w:hAnsi="Segoe UI" w:eastAsia="Microsoft YaHei"/>
          <w:b w:val="0"/>
          <w:color w:val="2D3748"/>
          <w:sz w:val="18"/>
        </w:rPr>
        <w:t>备选事项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one" w:sz="0" w:color="auto" w:space="0"/>
          <w:left w:val="none" w:sz="0" w:color="auto" w:space="0"/>
          <w:bottom w:val="none" w:sz="0" w:color="auto" w:space="0"/>
          <w:right w:val="none" w:sz="0" w:color="auto" w:space="0"/>
          <w:insideH w:val="none" w:sz="0" w:color="auto" w:space="0"/>
          <w:insideV w:val="none" w:sz="0" w:color="auto" w:space="0"/>
        </w:tblBorders>
        <w:tblLayout w:type="fixed"/>
        <w:tblCellMar>
          <w:top w:w="0" w:type="dxa"/>
          <w:bottom w:w="0" w:type="dxa"/>
          <w:left w:w="0" w:type="dxa"/>
          <w:right w:w="0" w:type="dxa"/>
        </w:tblCellMar>
      </w:tblPr>
      <w:tblGrid>
        <w:gridCol w:w="1701"/>
        <w:gridCol w:w="1394"/>
        <w:gridCol w:w="3878"/>
        <w:gridCol w:w="2438"/>
      </w:tblGrid>
      <w:tr>
        <w:trPr>
          <w:trHeight w:val="153" w:hRule="atLeast"/>
        </w:trPr>
        <w:tc>
          <w:tcPr>
            <w:tcW w:type="dxa" w:w="1701"/>
          </w:tcPr>
          <w:p>
            <w:pPr>
              <w:spacing w:after="20" w:before="20" w:line="240" w:lineRule="auto"/>
            </w:pPr>
            <w:r/>
            <w:r>
              <w:rPr>
                <w:rFonts w:ascii="Segoe UI" w:hAnsi="Segoe UI" w:eastAsia="Microsoft YaHei"/>
                <w:b/>
                <w:color w:val="2D3748"/>
                <w:sz w:val="18"/>
              </w:rPr>
              <w:t xml:space="preserve">2027 </w:t>
            </w:r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· 现有 233.9 分</w:t>
            </w:r>
          </w:p>
        </w:tc>
        <w:tc>
          <w:tcPr>
            <w:tcW w:type="dxa" w:w="1395"/>
            <w:shd w:val="clear" w:fill="57A773"/>
          </w:tcPr>
          <w:p>
            <w:pPr>
              <w:spacing w:after="20" w:before="20" w:line="240" w:lineRule="auto"/>
              <w:jc w:val="center"/>
            </w:pPr>
            <w:r/>
            <w:r>
              <w:rPr>
                <w:rFonts w:ascii="Segoe UI" w:hAnsi="Segoe UI" w:eastAsia="Microsoft YaHei"/>
                <w:b/>
                <w:color w:val="FFFFFF"/>
                <w:sz w:val="18"/>
              </w:rPr>
              <w:t>+3.5</w:t>
            </w:r>
          </w:p>
        </w:tc>
        <w:tc>
          <w:tcPr>
            <w:tcW w:type="dxa" w:w="3878"/>
            <w:shd w:val="clear" w:fill="4A90D9"/>
          </w:tcPr>
          <w:p>
            <w:pPr>
              <w:spacing w:after="20" w:before="20" w:line="240" w:lineRule="auto"/>
              <w:jc w:val="center"/>
            </w:pPr>
            <w:r/>
            <w:r>
              <w:rPr>
                <w:rFonts w:ascii="Segoe UI" w:hAnsi="Segoe UI" w:eastAsia="Microsoft YaHei"/>
                <w:b/>
                <w:color w:val="FFFFFF"/>
                <w:sz w:val="18"/>
              </w:rPr>
              <w:t>+9.75</w:t>
            </w:r>
          </w:p>
        </w:tc>
        <w:tc>
          <w:tcPr>
            <w:tcW w:type="dxa" w:w="2438"/>
          </w:tcPr>
          <w:p>
            <w:pPr>
              <w:spacing w:after="20" w:before="20" w:line="24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预计可达（上限）247.2 分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one" w:sz="0" w:color="auto" w:space="0"/>
          <w:left w:val="none" w:sz="0" w:color="auto" w:space="0"/>
          <w:bottom w:val="none" w:sz="0" w:color="auto" w:space="0"/>
          <w:right w:val="none" w:sz="0" w:color="auto" w:space="0"/>
          <w:insideH w:val="none" w:sz="0" w:color="auto" w:space="0"/>
          <w:insideV w:val="none" w:sz="0" w:color="auto" w:space="0"/>
        </w:tblBorders>
        <w:tblLayout w:type="fixed"/>
        <w:tblCellMar>
          <w:top w:w="0" w:type="dxa"/>
          <w:bottom w:w="0" w:type="dxa"/>
          <w:left w:w="0" w:type="dxa"/>
          <w:right w:w="0" w:type="dxa"/>
        </w:tblCellMar>
      </w:tblPr>
      <w:tblGrid>
        <w:gridCol w:w="1701"/>
        <w:gridCol w:w="1196"/>
        <w:gridCol w:w="2647"/>
        <w:gridCol w:w="3866"/>
      </w:tblGrid>
      <w:tr>
        <w:trPr>
          <w:trHeight w:val="153" w:hRule="atLeast"/>
        </w:trPr>
        <w:tc>
          <w:tcPr>
            <w:tcW w:type="dxa" w:w="1701"/>
          </w:tcPr>
          <w:p>
            <w:pPr>
              <w:spacing w:after="20" w:before="20" w:line="240" w:lineRule="auto"/>
            </w:pPr>
            <w:r/>
            <w:r>
              <w:rPr>
                <w:rFonts w:ascii="Segoe UI" w:hAnsi="Segoe UI" w:eastAsia="Microsoft YaHei"/>
                <w:b/>
                <w:color w:val="2D3748"/>
                <w:sz w:val="18"/>
              </w:rPr>
              <w:t xml:space="preserve">2028 </w:t>
            </w:r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· 起点 247.2 分</w:t>
            </w:r>
          </w:p>
        </w:tc>
        <w:tc>
          <w:tcPr>
            <w:tcW w:type="dxa" w:w="1196"/>
            <w:shd w:val="clear" w:fill="57A773"/>
          </w:tcPr>
          <w:p>
            <w:pPr>
              <w:spacing w:after="20" w:before="20" w:line="240" w:lineRule="auto"/>
              <w:jc w:val="center"/>
            </w:pPr>
            <w:r/>
            <w:r>
              <w:rPr>
                <w:rFonts w:ascii="Segoe UI" w:hAnsi="Segoe UI" w:eastAsia="Microsoft YaHei"/>
                <w:b/>
                <w:color w:val="FFFFFF"/>
                <w:sz w:val="18"/>
              </w:rPr>
              <w:t>+3.0</w:t>
            </w:r>
          </w:p>
        </w:tc>
        <w:tc>
          <w:tcPr>
            <w:tcW w:type="dxa" w:w="2648"/>
            <w:shd w:val="clear" w:fill="4A90D9"/>
          </w:tcPr>
          <w:p>
            <w:pPr>
              <w:spacing w:after="20" w:before="20" w:line="240" w:lineRule="auto"/>
              <w:jc w:val="center"/>
            </w:pPr>
            <w:r/>
            <w:r>
              <w:rPr>
                <w:rFonts w:ascii="Segoe UI" w:hAnsi="Segoe UI" w:eastAsia="Microsoft YaHei"/>
                <w:b/>
                <w:color w:val="FFFFFF"/>
                <w:sz w:val="18"/>
              </w:rPr>
              <w:t>+6.66</w:t>
            </w:r>
          </w:p>
        </w:tc>
        <w:tc>
          <w:tcPr>
            <w:tcW w:type="dxa" w:w="3866"/>
          </w:tcPr>
          <w:p>
            <w:pPr>
              <w:spacing w:after="20" w:before="20" w:line="24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预计可达（上限）256.9 分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one" w:sz="0" w:color="auto" w:space="0"/>
          <w:left w:val="none" w:sz="0" w:color="auto" w:space="0"/>
          <w:bottom w:val="none" w:sz="0" w:color="auto" w:space="0"/>
          <w:right w:val="none" w:sz="0" w:color="auto" w:space="0"/>
          <w:insideH w:val="none" w:sz="0" w:color="auto" w:space="0"/>
          <w:insideV w:val="none" w:sz="0" w:color="auto" w:space="0"/>
        </w:tblBorders>
        <w:tblLayout w:type="fixed"/>
        <w:tblCellMar>
          <w:top w:w="0" w:type="dxa"/>
          <w:bottom w:w="0" w:type="dxa"/>
          <w:left w:w="0" w:type="dxa"/>
          <w:right w:w="0" w:type="dxa"/>
        </w:tblCellMar>
      </w:tblPr>
      <w:tblGrid>
        <w:gridCol w:w="1701"/>
        <w:gridCol w:w="1196"/>
        <w:gridCol w:w="1752"/>
        <w:gridCol w:w="4762"/>
      </w:tblGrid>
      <w:tr>
        <w:trPr>
          <w:trHeight w:val="153" w:hRule="atLeast"/>
        </w:trPr>
        <w:tc>
          <w:tcPr>
            <w:tcW w:type="dxa" w:w="1701"/>
          </w:tcPr>
          <w:p>
            <w:pPr>
              <w:spacing w:after="20" w:before="20" w:line="240" w:lineRule="auto"/>
            </w:pPr>
            <w:r/>
            <w:r>
              <w:rPr>
                <w:rFonts w:ascii="Segoe UI" w:hAnsi="Segoe UI" w:eastAsia="Microsoft YaHei"/>
                <w:b/>
                <w:color w:val="2D3748"/>
                <w:sz w:val="18"/>
              </w:rPr>
              <w:t xml:space="preserve">2029 </w:t>
            </w:r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· 起点 256.9 分</w:t>
            </w:r>
          </w:p>
        </w:tc>
        <w:tc>
          <w:tcPr>
            <w:tcW w:type="dxa" w:w="1196"/>
            <w:shd w:val="clear" w:fill="57A773"/>
          </w:tcPr>
          <w:p>
            <w:pPr>
              <w:spacing w:after="20" w:before="20" w:line="240" w:lineRule="auto"/>
              <w:jc w:val="center"/>
            </w:pPr>
            <w:r/>
            <w:r>
              <w:rPr>
                <w:rFonts w:ascii="Segoe UI" w:hAnsi="Segoe UI" w:eastAsia="Microsoft YaHei"/>
                <w:b/>
                <w:color w:val="FFFFFF"/>
                <w:sz w:val="18"/>
              </w:rPr>
              <w:t>+3.0</w:t>
            </w:r>
          </w:p>
        </w:tc>
        <w:tc>
          <w:tcPr>
            <w:tcW w:type="dxa" w:w="1752"/>
            <w:shd w:val="clear" w:fill="4A90D9"/>
          </w:tcPr>
          <w:p>
            <w:pPr>
              <w:spacing w:after="20" w:before="20" w:line="240" w:lineRule="auto"/>
              <w:jc w:val="center"/>
            </w:pPr>
            <w:r/>
            <w:r>
              <w:rPr>
                <w:rFonts w:ascii="Segoe UI" w:hAnsi="Segoe UI" w:eastAsia="Microsoft YaHei"/>
                <w:b/>
                <w:color w:val="FFFFFF"/>
                <w:sz w:val="18"/>
              </w:rPr>
              <w:t>+4.40</w:t>
            </w:r>
          </w:p>
        </w:tc>
        <w:tc>
          <w:tcPr>
            <w:tcW w:type="dxa" w:w="4762"/>
          </w:tcPr>
          <w:p>
            <w:pPr>
              <w:spacing w:after="20" w:before="20" w:line="24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预计可达（上限）264.3 分</w:t>
            </w:r>
          </w:p>
        </w:tc>
      </w:tr>
    </w:tbl>
    <w:p>
      <w:pPr>
        <w:pStyle w:val="Heading1"/>
        <w:spacing w:before="0"/>
      </w:pPr>
      <w:r>
        <w:t>三、支撑资源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2608"/>
        <w:gridCol w:w="2268"/>
        <w:gridCol w:w="2268"/>
        <w:gridCol w:w="2268"/>
      </w:tblGrid>
      <w:tr>
        <w:trPr>
          <w:tblHeader w:val="true"/>
        </w:trPr>
        <w:tc>
          <w:tcPr>
            <w:tcW w:type="dxa" w:w="2608"/>
            <w:shd w:val="clear" w:fill="0D1A39"/>
          </w:tcPr>
          <w:p>
            <w:pPr>
              <w:spacing w:after="20" w:before="20" w:line="283" w:lineRule="auto"/>
            </w:pPr>
            <w:r/>
            <w:r>
              <w:rPr>
                <w:rFonts w:ascii="Segoe UI" w:hAnsi="Segoe UI" w:eastAsia="Microsoft YaHei"/>
                <w:b/>
                <w:color w:val="FFFFFF"/>
                <w:sz w:val="19"/>
              </w:rPr>
              <w:t>逐项核查的数据与材料底座</w:t>
            </w:r>
          </w:p>
        </w:tc>
        <w:tc>
          <w:tcPr>
            <w:tcW w:type="dxa" w:w="2268"/>
            <w:shd w:val="clear" w:fill="0D1A39"/>
          </w:tcPr>
          <w:p>
            <w:pPr>
              <w:spacing w:after="20" w:before="20" w:line="283" w:lineRule="auto"/>
            </w:pPr>
            <w:r/>
            <w:r>
              <w:rPr>
                <w:rFonts w:ascii="Segoe UI" w:hAnsi="Segoe UI" w:eastAsia="Microsoft YaHei"/>
                <w:b/>
                <w:color w:val="FFFFFF"/>
                <w:sz w:val="19"/>
              </w:rPr>
              <w:t>软科口径测算模型</w:t>
            </w:r>
          </w:p>
        </w:tc>
        <w:tc>
          <w:tcPr>
            <w:tcW w:type="dxa" w:w="2268"/>
            <w:shd w:val="clear" w:fill="0D1A39"/>
          </w:tcPr>
          <w:p>
            <w:pPr>
              <w:spacing w:after="20" w:before="20" w:line="283" w:lineRule="auto"/>
            </w:pPr>
            <w:r/>
            <w:r>
              <w:rPr>
                <w:rFonts w:ascii="Segoe UI" w:hAnsi="Segoe UI" w:eastAsia="Microsoft YaHei"/>
                <w:b/>
                <w:color w:val="FFFFFF"/>
                <w:sz w:val="19"/>
              </w:rPr>
              <w:t>正式报告编制统筹</w:t>
            </w:r>
          </w:p>
        </w:tc>
        <w:tc>
          <w:tcPr>
            <w:tcW w:type="dxa" w:w="2268"/>
            <w:shd w:val="clear" w:fill="0D1A39"/>
          </w:tcPr>
          <w:p>
            <w:pPr>
              <w:spacing w:after="20" w:before="20" w:line="283" w:lineRule="auto"/>
            </w:pPr>
            <w:r/>
            <w:r>
              <w:rPr>
                <w:rFonts w:ascii="Segoe UI" w:hAnsi="Segoe UI" w:eastAsia="Microsoft YaHei"/>
                <w:b/>
                <w:color w:val="FFFFFF"/>
                <w:sz w:val="19"/>
              </w:rPr>
              <w:t>逐年动态复测</w:t>
            </w:r>
          </w:p>
        </w:tc>
      </w:tr>
      <w:tr>
        <w:tc>
          <w:tcPr>
            <w:tcW w:type="dxa" w:w="2608"/>
          </w:tcPr>
          <w:p>
            <w:pPr>
              <w:spacing w:after="20" w:before="20" w:line="283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100 项指标逐项核查，核查材料共 73 条</w:t>
            </w:r>
          </w:p>
        </w:tc>
        <w:tc>
          <w:tcPr>
            <w:tcW w:type="dxa" w:w="2268"/>
          </w:tcPr>
          <w:p>
            <w:pPr>
              <w:spacing w:after="20" w:before="20" w:line="283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按软科公开方法逐项测算、分数线逐年推算</w:t>
            </w:r>
          </w:p>
        </w:tc>
        <w:tc>
          <w:tcPr>
            <w:tcW w:type="dxa" w:w="2268"/>
          </w:tcPr>
          <w:p>
            <w:pPr>
              <w:spacing w:after="20" w:before="20" w:line="283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报告与统计编制期先行评审口径并确定目标值</w:t>
            </w:r>
          </w:p>
        </w:tc>
        <w:tc>
          <w:tcPr>
            <w:tcW w:type="dxa" w:w="2268"/>
          </w:tcPr>
          <w:p>
            <w:pPr>
              <w:spacing w:after="20" w:before="20" w:line="283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每年新版后复测构成与差距、滚动调整</w:t>
            </w:r>
          </w:p>
        </w:tc>
      </w:tr>
    </w:tbl>
    <w:p>
      <w:pPr>
        <w:spacing w:after="0" w:before="60" w:line="360" w:lineRule="auto"/>
      </w:pPr>
      <w:r>
        <w:rPr>
          <w:rFonts w:ascii="Segoe UI" w:hAnsi="Segoe UI" w:eastAsia="Microsoft YaHei"/>
          <w:b w:val="0"/>
          <w:color w:val="2D3748"/>
          <w:sz w:val="20"/>
        </w:rPr>
        <w:t>本材料所依据的测算与逐项核查，由 mShare 提供技术支持。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624" w:footer="62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Segoe UI" w:hAnsi="Segoe UI" w:eastAsia="Microsoft YaHei"/>
        <w:b w:val="0"/>
        <w:color w:val="595959"/>
        <w:sz w:val="17"/>
      </w:rPr>
      <w:t>2026 年 11 月 1 日</w:t>
      <w:tab/>
    </w:r>
    <w:r>
      <w:rPr>
        <w:rFonts w:ascii="Segoe UI" w:hAnsi="Segoe UI" w:eastAsia="Microsoft YaHei"/>
        <w:b w:val="0"/>
        <w:color w:val="595959"/>
        <w:sz w:val="17"/>
      </w:rPr>
      <w:t xml:space="preserve">第 </w:t>
    </w:r>
    <w:r>
      <w:rPr>
        <w:rFonts w:ascii="Segoe UI" w:hAnsi="Segoe UI" w:eastAsia="Microsoft YaHei"/>
        <w:b w:val="0"/>
        <w:color w:val="595959"/>
        <w:sz w:val="17"/>
      </w:rPr>
      <w:fldChar w:fldCharType="begin"/>
      <w:instrText xml:space="preserve">PAGE</w:instrText>
      <w:fldChar w:fldCharType="end"/>
    </w:r>
    <w:r>
      <w:rPr>
        <w:rFonts w:ascii="Segoe UI" w:hAnsi="Segoe UI" w:eastAsia="Microsoft YaHei"/>
        <w:b w:val="0"/>
        <w:color w:val="595959"/>
        <w:sz w:val="17"/>
      </w:rPr>
      <w:t xml:space="preserve"> 页 / 共 </w:t>
    </w:r>
    <w:r>
      <w:rPr>
        <w:rFonts w:ascii="Segoe UI" w:hAnsi="Segoe UI" w:eastAsia="Microsoft YaHei"/>
        <w:b w:val="0"/>
        <w:color w:val="595959"/>
        <w:sz w:val="17"/>
      </w:rPr>
      <w:fldChar w:fldCharType="begin"/>
      <w:instrText xml:space="preserve">NUMPAGES</w:instrText>
      <w:fldChar w:fldCharType="end"/>
    </w:r>
    <w:r>
      <w:rPr>
        <w:rFonts w:ascii="Segoe UI" w:hAnsi="Segoe UI" w:eastAsia="Microsoft YaHei"/>
        <w:b w:val="0"/>
        <w:color w:val="595959"/>
        <w:sz w:val="17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Segoe UI" w:hAnsi="Segoe UI" w:eastAsia="Microsoft YaHei"/>
        <w:b w:val="0"/>
        <w:color w:val="595959"/>
        <w:sz w:val="17"/>
      </w:rPr>
      <w:t>河北大学 · 软科中国大学排名提升工作汇报</w:t>
      <w:tab/>
      <w:t>数据截至 2026 年 10 月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after="120"/>
    </w:pPr>
    <w:rPr>
      <w:rFonts w:ascii="Segoe UI" w:hAnsi="Segoe UI" w:eastAsia="Microsoft YaHei"/>
      <w:color w:val="2D3748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60" w:after="60"/>
      <w:outlineLvl w:val="0"/>
    </w:pPr>
    <w:rPr>
      <w:rFonts w:asciiTheme="majorHAnsi" w:eastAsiaTheme="majorEastAsia" w:hAnsiTheme="majorHAnsi" w:cstheme="majorBidi" w:ascii="Georgia" w:hAnsi="Georgia" w:eastAsia="SimSun"/>
      <w:b/>
      <w:bCs/>
      <w:color w:val="2D3748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60"/>
      <w:outlineLvl w:val="1"/>
    </w:pPr>
    <w:rPr>
      <w:rFonts w:asciiTheme="majorHAnsi" w:eastAsiaTheme="majorEastAsia" w:hAnsiTheme="majorHAnsi" w:cstheme="majorBidi" w:ascii="Georgia" w:hAnsi="Georgia" w:eastAsia="SimSun"/>
      <w:b/>
      <w:bCs/>
      <w:color w:val="2D3748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